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rPr>
          <w:rFonts w:hint="eastAsia" w:ascii="仿宋_GB2312" w:hAnsi="黑体" w:eastAsia="仿宋_GB2312"/>
          <w:sz w:val="32"/>
          <w:szCs w:val="32"/>
          <w:lang w:eastAsia="zh-CN"/>
        </w:rPr>
      </w:pPr>
      <w:r>
        <w:rPr>
          <w:rFonts w:hint="eastAsia" w:ascii="仿宋_GB2312" w:hAnsi="黑体" w:eastAsia="仿宋_GB2312"/>
          <w:sz w:val="32"/>
          <w:szCs w:val="32"/>
        </w:rPr>
        <w:t>附件</w:t>
      </w:r>
      <w:r>
        <w:rPr>
          <w:rFonts w:hint="eastAsia" w:ascii="仿宋_GB2312" w:hAnsi="黑体" w:eastAsia="仿宋_GB2312"/>
          <w:sz w:val="32"/>
          <w:szCs w:val="32"/>
          <w:lang w:val="en-US" w:eastAsia="zh-CN"/>
        </w:rPr>
        <w:t>1</w:t>
      </w:r>
    </w:p>
    <w:p>
      <w:pPr>
        <w:spacing w:line="220" w:lineRule="atLeas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海南经贸职业技术学院2022年校园安全风险隐患集中排查表</w:t>
      </w:r>
    </w:p>
    <w:tbl>
      <w:tblPr>
        <w:tblStyle w:val="8"/>
        <w:tblW w:w="1416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3"/>
        <w:gridCol w:w="4303"/>
        <w:gridCol w:w="685"/>
        <w:gridCol w:w="820"/>
        <w:gridCol w:w="821"/>
        <w:gridCol w:w="772"/>
        <w:gridCol w:w="1217"/>
        <w:gridCol w:w="1097"/>
        <w:gridCol w:w="1132"/>
        <w:gridCol w:w="874"/>
        <w:gridCol w:w="11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排查领域</w:t>
            </w:r>
          </w:p>
        </w:tc>
        <w:tc>
          <w:tcPr>
            <w:tcW w:w="43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排查内容</w:t>
            </w:r>
          </w:p>
        </w:tc>
        <w:tc>
          <w:tcPr>
            <w:tcW w:w="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牵头单位</w:t>
            </w:r>
          </w:p>
        </w:tc>
        <w:tc>
          <w:tcPr>
            <w:tcW w:w="8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配合部门</w:t>
            </w:r>
          </w:p>
        </w:tc>
        <w:tc>
          <w:tcPr>
            <w:tcW w:w="8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责任部门</w:t>
            </w:r>
          </w:p>
        </w:tc>
        <w:tc>
          <w:tcPr>
            <w:tcW w:w="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检查结果</w:t>
            </w:r>
          </w:p>
        </w:tc>
        <w:tc>
          <w:tcPr>
            <w:tcW w:w="12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问题描述</w:t>
            </w:r>
          </w:p>
        </w:tc>
        <w:tc>
          <w:tcPr>
            <w:tcW w:w="10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整改措施</w:t>
            </w:r>
          </w:p>
        </w:tc>
        <w:tc>
          <w:tcPr>
            <w:tcW w:w="11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整改时限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责任人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是否上报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30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所有部门、单位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共性领域</w:t>
            </w:r>
          </w:p>
        </w:tc>
        <w:tc>
          <w:tcPr>
            <w:tcW w:w="4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1.是否常态化开展安全教育工作，增强师生员工防火、防盗、防诈骗和交通安全意识。</w:t>
            </w:r>
          </w:p>
        </w:tc>
        <w:tc>
          <w:tcPr>
            <w:tcW w:w="232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所有部门、单位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2.检查所属办公室门窗、防盗网是否完好，办公设备是否存在故障和电气火灾隐患。</w:t>
            </w:r>
          </w:p>
        </w:tc>
        <w:tc>
          <w:tcPr>
            <w:tcW w:w="2326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both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3.对办公室所在楼层的消防设备进行直观的检查，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若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发现有缺漏或损坏的及时向安全保卫处反映。</w:t>
            </w:r>
          </w:p>
        </w:tc>
        <w:tc>
          <w:tcPr>
            <w:tcW w:w="2326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4.师生员工是否有疫后综合症、心理障碍、矛盾纠纷和遭遇电信诈骗。</w:t>
            </w:r>
          </w:p>
        </w:tc>
        <w:tc>
          <w:tcPr>
            <w:tcW w:w="2326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ind w:firstLine="211" w:firstLineChars="100"/>
              <w:jc w:val="both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5.本部门、本单位分管业务、建设项目、举办活动中的各种安全风险隐患。</w:t>
            </w:r>
          </w:p>
        </w:tc>
        <w:tc>
          <w:tcPr>
            <w:tcW w:w="2326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0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二级学院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br w:type="textWrapping"/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共性领域</w:t>
            </w:r>
          </w:p>
        </w:tc>
        <w:tc>
          <w:tcPr>
            <w:tcW w:w="4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1.是否深入开展防范电信诈骗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以及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无证驾驶、超员超速超载、不带安全头盔等违规行为等突出问题的教育引导工作。</w:t>
            </w:r>
          </w:p>
        </w:tc>
        <w:tc>
          <w:tcPr>
            <w:tcW w:w="232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二级学院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2.是否落实学生心理健康普查和心理危机排查工作。</w:t>
            </w:r>
          </w:p>
        </w:tc>
        <w:tc>
          <w:tcPr>
            <w:tcW w:w="2326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3.对所管辖的教室，特别多媒体教室、实训室进行全面检查，确保门窗完好。</w:t>
            </w:r>
          </w:p>
        </w:tc>
        <w:tc>
          <w:tcPr>
            <w:tcW w:w="2326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√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邝岩</w:t>
            </w:r>
          </w:p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王芳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4.确保各种教学仪器和设备正常使用，及时排除电气火灾隐患。</w:t>
            </w:r>
          </w:p>
        </w:tc>
        <w:tc>
          <w:tcPr>
            <w:tcW w:w="2326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√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邝岩</w:t>
            </w:r>
          </w:p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王芳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5" w:hRule="atLeast"/>
          <w:jc w:val="center"/>
        </w:trPr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5.要检查是否保管好易燃易爆物品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机电和汽车工程学院尤其要对汽车维修车间要进行重点检查，确保汽油使用安全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体育与健康学院要对体育馆和体育设施进行全面检查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其他学院要对实验实训设施设备进行检查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。</w:t>
            </w:r>
          </w:p>
        </w:tc>
        <w:tc>
          <w:tcPr>
            <w:tcW w:w="2326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√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邝岩</w:t>
            </w:r>
          </w:p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王芳</w:t>
            </w: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6.对学生宿舍进行全面排查，确保门窗牢固，开学时水、电、风扇、空调能够正常使用，并检查是否存放管制刀具或其他违禁物品。</w:t>
            </w:r>
          </w:p>
        </w:tc>
        <w:tc>
          <w:tcPr>
            <w:tcW w:w="2326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b/>
                <w:bCs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30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安全责任制落实</w:t>
            </w:r>
          </w:p>
        </w:tc>
        <w:tc>
          <w:tcPr>
            <w:tcW w:w="4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安全工作领导机制是否健全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6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安全保卫处</w:t>
            </w:r>
          </w:p>
        </w:tc>
        <w:tc>
          <w:tcPr>
            <w:tcW w:w="8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党政办公室、学生工作部、后勤基建处、资产管理中心</w:t>
            </w:r>
          </w:p>
        </w:tc>
        <w:tc>
          <w:tcPr>
            <w:tcW w:w="82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各部门、各单位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在安全监管工作上责任心方面是否存在被动应付、搞形式、走过场、管控松散。</w:t>
            </w:r>
          </w:p>
        </w:tc>
        <w:tc>
          <w:tcPr>
            <w:tcW w:w="6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8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是否存在安全风险辨识力不强。</w:t>
            </w:r>
          </w:p>
        </w:tc>
        <w:tc>
          <w:tcPr>
            <w:tcW w:w="6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8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风险隐患管控失效和弱化。</w:t>
            </w:r>
          </w:p>
        </w:tc>
        <w:tc>
          <w:tcPr>
            <w:tcW w:w="6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8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30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安全教育宣传和管理</w:t>
            </w:r>
          </w:p>
        </w:tc>
        <w:tc>
          <w:tcPr>
            <w:tcW w:w="4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学院安全教育是否存在计划不实、覆盖面不足、氛围不浓厚。</w:t>
            </w:r>
          </w:p>
        </w:tc>
        <w:tc>
          <w:tcPr>
            <w:tcW w:w="6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安全保卫处</w:t>
            </w:r>
          </w:p>
        </w:tc>
        <w:tc>
          <w:tcPr>
            <w:tcW w:w="8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组织人事处、宣传统战部、学生工作部</w:t>
            </w:r>
          </w:p>
        </w:tc>
        <w:tc>
          <w:tcPr>
            <w:tcW w:w="82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各部门、各单位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安全教育针对性不强、方式方法单一。</w:t>
            </w:r>
          </w:p>
        </w:tc>
        <w:tc>
          <w:tcPr>
            <w:tcW w:w="6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8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教职工安全教育培训不到位。</w:t>
            </w:r>
          </w:p>
        </w:tc>
        <w:tc>
          <w:tcPr>
            <w:tcW w:w="6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8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30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疫情防控</w:t>
            </w:r>
          </w:p>
        </w:tc>
        <w:tc>
          <w:tcPr>
            <w:tcW w:w="4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学院校门管控是否松散，人员、车辆随意进出。</w:t>
            </w:r>
          </w:p>
        </w:tc>
        <w:tc>
          <w:tcPr>
            <w:tcW w:w="6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后勤基建处</w:t>
            </w:r>
          </w:p>
        </w:tc>
        <w:tc>
          <w:tcPr>
            <w:tcW w:w="8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党政办公室、组织人事处、学生工作部、安全保卫处</w:t>
            </w:r>
          </w:p>
        </w:tc>
        <w:tc>
          <w:tcPr>
            <w:tcW w:w="82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各部门、各单位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校舍消毒是否管理不到位。</w:t>
            </w:r>
          </w:p>
        </w:tc>
        <w:tc>
          <w:tcPr>
            <w:tcW w:w="6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8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防护物资是否储备不足、部分物资过期失效。</w:t>
            </w:r>
          </w:p>
        </w:tc>
        <w:tc>
          <w:tcPr>
            <w:tcW w:w="6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8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学院应急预案是否存在不健全、演练开展不及时、缺乏应急处突能力。</w:t>
            </w:r>
          </w:p>
        </w:tc>
        <w:tc>
          <w:tcPr>
            <w:tcW w:w="6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8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0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校车安全</w:t>
            </w:r>
          </w:p>
        </w:tc>
        <w:tc>
          <w:tcPr>
            <w:tcW w:w="4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严格落实《校车安全管理条例》，依法实施校车使用许可。</w:t>
            </w:r>
          </w:p>
        </w:tc>
        <w:tc>
          <w:tcPr>
            <w:tcW w:w="2326" w:type="dxa"/>
            <w:gridSpan w:val="3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党政办公室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安全责任落实、安全思想认识、专业队伍建设、规章标准执行、安全管理链条、安全保障能力。</w:t>
            </w:r>
          </w:p>
        </w:tc>
        <w:tc>
          <w:tcPr>
            <w:tcW w:w="2326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接送校车检验、校车标识申领、校车档案建设等情况，清理不达标载客汽车、非专用校车。</w:t>
            </w:r>
          </w:p>
        </w:tc>
        <w:tc>
          <w:tcPr>
            <w:tcW w:w="2326" w:type="dxa"/>
            <w:gridSpan w:val="3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30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道路交通安全</w:t>
            </w:r>
          </w:p>
        </w:tc>
        <w:tc>
          <w:tcPr>
            <w:tcW w:w="4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紧盯摩托车、电动自行车，配合公安交管、交通等部门开展联合行动，着力整治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校园车辆乱停乱放、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学生无证驾驶、超员超速超载、不带安全头盔等违规行为。</w:t>
            </w:r>
          </w:p>
        </w:tc>
        <w:tc>
          <w:tcPr>
            <w:tcW w:w="6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安全保卫处</w:t>
            </w:r>
          </w:p>
        </w:tc>
        <w:tc>
          <w:tcPr>
            <w:tcW w:w="8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后勤基建处</w:t>
            </w:r>
          </w:p>
        </w:tc>
        <w:tc>
          <w:tcPr>
            <w:tcW w:w="82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深入开展学校校门口交通秩序专项治理，全面摸排隐患，优化校门出入口设置，完善交通设施，改善通行环境。</w:t>
            </w:r>
          </w:p>
        </w:tc>
        <w:tc>
          <w:tcPr>
            <w:tcW w:w="6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8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130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实验室、危化品安全</w:t>
            </w:r>
          </w:p>
        </w:tc>
        <w:tc>
          <w:tcPr>
            <w:tcW w:w="4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重点排查危化品和易燃易爆炸易腐蚀物品的采购、存储、使用、废弃处置的风险隐患，排查辐射、生物、机械、特种设备等实验设施、设备与用品等重大危险源的管理情况。</w:t>
            </w:r>
          </w:p>
        </w:tc>
        <w:tc>
          <w:tcPr>
            <w:tcW w:w="6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资产管理中心</w:t>
            </w:r>
          </w:p>
        </w:tc>
        <w:tc>
          <w:tcPr>
            <w:tcW w:w="8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教务处</w:t>
            </w:r>
          </w:p>
        </w:tc>
        <w:tc>
          <w:tcPr>
            <w:tcW w:w="82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机电和汽车工程学院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严查学校实验室及危险化学品安全管理漏洞，严格落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实重大危险源包保责任制，健全分级管理责任体系和监督体系，建立危险源全周期管理制度。</w:t>
            </w:r>
          </w:p>
        </w:tc>
        <w:tc>
          <w:tcPr>
            <w:tcW w:w="6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8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30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建筑施工安全</w:t>
            </w:r>
          </w:p>
        </w:tc>
        <w:tc>
          <w:tcPr>
            <w:tcW w:w="4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加强对校园内建筑工程安全检查，严格重大项目安全把关，坚决整改“边审批、边设计、边施工”及不顾安全盲目赶工期、抢进度行为。</w:t>
            </w:r>
          </w:p>
        </w:tc>
        <w:tc>
          <w:tcPr>
            <w:tcW w:w="6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后勤基建处</w:t>
            </w:r>
          </w:p>
        </w:tc>
        <w:tc>
          <w:tcPr>
            <w:tcW w:w="8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资产管理中心</w:t>
            </w:r>
          </w:p>
        </w:tc>
        <w:tc>
          <w:tcPr>
            <w:tcW w:w="82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各有关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涉及建筑施工内容的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项目部门、单位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严查建筑工程无资质施工行为。</w:t>
            </w:r>
          </w:p>
        </w:tc>
        <w:tc>
          <w:tcPr>
            <w:tcW w:w="6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8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30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燃气安全</w:t>
            </w:r>
          </w:p>
        </w:tc>
        <w:tc>
          <w:tcPr>
            <w:tcW w:w="4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严格按照《海南省城镇燃气排查整治工作实施方案》规定的内容，全面排查校内餐饮公共场所、老旧住宅小区的燃气管道安全风险和重大隐患。</w:t>
            </w:r>
          </w:p>
        </w:tc>
        <w:tc>
          <w:tcPr>
            <w:tcW w:w="232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后勤基建处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严查校内临时板房、施工面占压和影响燃气管道的风险隐患。</w:t>
            </w:r>
          </w:p>
        </w:tc>
        <w:tc>
          <w:tcPr>
            <w:tcW w:w="2326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30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消防安全</w:t>
            </w:r>
          </w:p>
        </w:tc>
        <w:tc>
          <w:tcPr>
            <w:tcW w:w="4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强化各类校舍消防安全治理，坚决整治电动自行车进楼入户、乱摆乱放等突出消防隐患，重点排查消防设施、器材和消防安全标志是否完好有效，是否对消防设施定期维修保养。</w:t>
            </w:r>
          </w:p>
        </w:tc>
        <w:tc>
          <w:tcPr>
            <w:tcW w:w="685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安全保卫处</w:t>
            </w:r>
          </w:p>
        </w:tc>
        <w:tc>
          <w:tcPr>
            <w:tcW w:w="820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后勤基建处</w:t>
            </w:r>
          </w:p>
        </w:tc>
        <w:tc>
          <w:tcPr>
            <w:tcW w:w="82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  <w:jc w:val="center"/>
        </w:trPr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应急疏散通道、安全出口、消防车通道是否畅通，设有自动消防设施的单位、场所是否有专业维保单位。</w:t>
            </w:r>
          </w:p>
        </w:tc>
        <w:tc>
          <w:tcPr>
            <w:tcW w:w="6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8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严查校内教师住房出租集中留宿学生的行为。</w:t>
            </w:r>
          </w:p>
        </w:tc>
        <w:tc>
          <w:tcPr>
            <w:tcW w:w="685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8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0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防范学生溺水安全</w:t>
            </w:r>
          </w:p>
        </w:tc>
        <w:tc>
          <w:tcPr>
            <w:tcW w:w="4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紧盯学生“野泳”不安全行为，梳理出重点关注学生台账。</w:t>
            </w:r>
          </w:p>
        </w:tc>
        <w:tc>
          <w:tcPr>
            <w:tcW w:w="68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学生工作部</w:t>
            </w:r>
          </w:p>
        </w:tc>
        <w:tc>
          <w:tcPr>
            <w:tcW w:w="8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安全保卫处</w:t>
            </w:r>
          </w:p>
        </w:tc>
        <w:tc>
          <w:tcPr>
            <w:tcW w:w="82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各二级学院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加强对学校周边和临近居住点不安全风险水域的排查，形成风险水域清单，提交并促请市县、乡镇政府、有关部门开展巡查检查和隐患治理，提高管控力度和成效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(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此条由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学生工作部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商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</w:rPr>
              <w:t>安全保卫处</w:t>
            </w:r>
            <w:r>
              <w:rPr>
                <w:rFonts w:hint="eastAsia" w:ascii="仿宋" w:hAnsi="仿宋" w:eastAsia="仿宋" w:cs="宋体"/>
                <w:b/>
                <w:bCs/>
                <w:color w:val="000000"/>
                <w:sz w:val="21"/>
                <w:szCs w:val="21"/>
                <w:lang w:val="en-US" w:eastAsia="zh-CN"/>
              </w:rPr>
              <w:t>排查)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。</w:t>
            </w:r>
          </w:p>
        </w:tc>
        <w:tc>
          <w:tcPr>
            <w:tcW w:w="685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820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82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0" w:hRule="atLeast"/>
          <w:jc w:val="center"/>
        </w:trPr>
        <w:tc>
          <w:tcPr>
            <w:tcW w:w="130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食品安全</w:t>
            </w:r>
          </w:p>
        </w:tc>
        <w:tc>
          <w:tcPr>
            <w:tcW w:w="4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严格落实《学校食品安全与营养健康管理规定》《餐饮服务食品安全操作规范》等法律法规，以省级食品安全标准化食堂建设为抓手，对照《现场检查评估细则》全面开展隐患排查，重点排查食品原材料的索证索票是否齐全，食品经营场所功能布局是否合理，食品加工制作是否规范，餐用（饮）具清洗消毒保洁是否规范，食品和非食品贮存是否符合要求，设施设备是否定期使用、维修和养护，餐厨废弃物管理是否得当。</w:t>
            </w:r>
          </w:p>
        </w:tc>
        <w:tc>
          <w:tcPr>
            <w:tcW w:w="232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后勤基建处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严禁无证或超范围经营。</w:t>
            </w:r>
          </w:p>
        </w:tc>
        <w:tc>
          <w:tcPr>
            <w:tcW w:w="2326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  <w:jc w:val="center"/>
        </w:trPr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严查校内售卖高盐、高糖及高脂食品的行为。</w:t>
            </w:r>
          </w:p>
        </w:tc>
        <w:tc>
          <w:tcPr>
            <w:tcW w:w="2326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3" w:hRule="atLeast"/>
          <w:jc w:val="center"/>
        </w:trPr>
        <w:tc>
          <w:tcPr>
            <w:tcW w:w="1303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学校安全防范</w:t>
            </w:r>
          </w:p>
        </w:tc>
        <w:tc>
          <w:tcPr>
            <w:tcW w:w="4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安全保卫力量配备是否充足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eastAsia="zh-CN"/>
              </w:rPr>
              <w:t>。</w:t>
            </w:r>
          </w:p>
        </w:tc>
        <w:tc>
          <w:tcPr>
            <w:tcW w:w="232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安全保卫处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推动专职保安员配备、封闭化管理、城镇校园“护学岗社”设置、一键式紧急报警视频监控联网达到100%。</w:t>
            </w:r>
          </w:p>
        </w:tc>
        <w:tc>
          <w:tcPr>
            <w:tcW w:w="2326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1303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4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严查4个100%建设不达标、管理不规范、设备破损和运行质量差等问题。</w:t>
            </w:r>
          </w:p>
        </w:tc>
        <w:tc>
          <w:tcPr>
            <w:tcW w:w="2326" w:type="dxa"/>
            <w:gridSpan w:val="3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13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其他领域安全</w:t>
            </w:r>
          </w:p>
        </w:tc>
        <w:tc>
          <w:tcPr>
            <w:tcW w:w="4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紧紧围绕校园内人员密集场所、与群众生产生活息息相关、一旦发生事故可能造成严重社会影响等原则开展隐患排查。</w:t>
            </w:r>
          </w:p>
        </w:tc>
        <w:tc>
          <w:tcPr>
            <w:tcW w:w="68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jc w:val="center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安全保卫处</w:t>
            </w:r>
          </w:p>
        </w:tc>
        <w:tc>
          <w:tcPr>
            <w:tcW w:w="8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党政办公室、学生工作部、后勤基建处、资产管理中心</w:t>
            </w:r>
          </w:p>
        </w:tc>
        <w:tc>
          <w:tcPr>
            <w:tcW w:w="8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各部门、各单位</w:t>
            </w:r>
          </w:p>
        </w:tc>
        <w:tc>
          <w:tcPr>
            <w:tcW w:w="7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2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11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7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adjustRightInd/>
              <w:snapToGrid/>
              <w:spacing w:after="0"/>
              <w:rPr>
                <w:rFonts w:ascii="仿宋" w:hAnsi="仿宋" w:eastAsia="仿宋" w:cs="宋体"/>
                <w:color w:val="000000"/>
                <w:sz w:val="21"/>
                <w:szCs w:val="21"/>
              </w:rPr>
            </w:pPr>
            <w:r>
              <w:rPr>
                <w:rFonts w:hint="eastAsia" w:ascii="仿宋" w:hAnsi="仿宋" w:eastAsia="仿宋" w:cs="宋体"/>
                <w:color w:val="000000"/>
                <w:sz w:val="21"/>
                <w:szCs w:val="21"/>
              </w:rPr>
              <w:t>　</w:t>
            </w:r>
          </w:p>
        </w:tc>
      </w:tr>
    </w:tbl>
    <w:p>
      <w:pPr>
        <w:spacing w:line="220" w:lineRule="atLeast"/>
        <w:ind w:firstLine="110" w:firstLineChars="50"/>
        <w:rPr>
          <w:rFonts w:ascii="宋体" w:hAnsi="宋体"/>
        </w:rPr>
      </w:pPr>
      <w:r>
        <w:rPr>
          <w:rFonts w:hint="eastAsia" w:ascii="宋体" w:hAnsi="宋体"/>
        </w:rPr>
        <w:t xml:space="preserve">报送部门（单位）（盖章）：   </w:t>
      </w:r>
      <w:r>
        <w:rPr>
          <w:rFonts w:hint="eastAsia" w:ascii="宋体" w:hAnsi="宋体"/>
          <w:lang w:val="en-US" w:eastAsia="zh-CN"/>
        </w:rPr>
        <w:t>国际旅游学院</w:t>
      </w:r>
      <w:r>
        <w:rPr>
          <w:rFonts w:hint="eastAsia" w:ascii="宋体" w:hAnsi="宋体"/>
        </w:rPr>
        <w:t xml:space="preserve">       </w:t>
      </w:r>
      <w:r>
        <w:rPr>
          <w:rFonts w:ascii="宋体" w:hAnsi="宋体"/>
        </w:rPr>
        <w:t xml:space="preserve">     </w:t>
      </w:r>
      <w:r>
        <w:rPr>
          <w:rFonts w:hint="eastAsia" w:ascii="宋体" w:hAnsi="宋体"/>
        </w:rPr>
        <w:t xml:space="preserve">主要负责人：   </w:t>
      </w:r>
      <w:r>
        <w:rPr>
          <w:rFonts w:hint="eastAsia" w:ascii="宋体" w:hAnsi="宋体"/>
          <w:lang w:eastAsia="zh-CN"/>
        </w:rPr>
        <w:t>邝岩</w:t>
      </w:r>
      <w:r>
        <w:rPr>
          <w:rFonts w:hint="eastAsia" w:ascii="宋体" w:hAnsi="宋体"/>
          <w:lang w:val="en-US" w:eastAsia="zh-CN"/>
        </w:rPr>
        <w:t xml:space="preserve">    王芳</w:t>
      </w:r>
      <w:r>
        <w:rPr>
          <w:rFonts w:hint="eastAsia" w:ascii="宋体" w:hAnsi="宋体"/>
        </w:rPr>
        <w:t xml:space="preserve">   </w:t>
      </w:r>
      <w:bookmarkStart w:id="0" w:name="_GoBack"/>
      <w:bookmarkEnd w:id="0"/>
      <w:r>
        <w:rPr>
          <w:rFonts w:ascii="宋体" w:hAnsi="宋体"/>
        </w:rPr>
        <w:t xml:space="preserve">      </w:t>
      </w:r>
      <w:r>
        <w:rPr>
          <w:rFonts w:hint="eastAsia" w:ascii="宋体" w:hAnsi="宋体"/>
        </w:rPr>
        <w:t>填报人：</w:t>
      </w:r>
      <w:r>
        <w:rPr>
          <w:rFonts w:hint="eastAsia" w:ascii="宋体" w:hAnsi="宋体"/>
          <w:lang w:val="en-US" w:eastAsia="zh-CN"/>
        </w:rPr>
        <w:t>2022</w:t>
      </w:r>
      <w:r>
        <w:rPr>
          <w:rFonts w:hint="eastAsia" w:ascii="宋体" w:hAnsi="宋体"/>
        </w:rPr>
        <w:t xml:space="preserve"> </w:t>
      </w:r>
      <w:r>
        <w:rPr>
          <w:rFonts w:ascii="宋体" w:hAnsi="宋体"/>
        </w:rPr>
        <w:t xml:space="preserve">  </w:t>
      </w:r>
      <w:r>
        <w:rPr>
          <w:rFonts w:hint="eastAsia" w:ascii="宋体" w:hAnsi="宋体"/>
        </w:rPr>
        <w:t>年</w:t>
      </w:r>
      <w:r>
        <w:rPr>
          <w:rFonts w:ascii="宋体" w:hAnsi="宋体"/>
        </w:rPr>
        <w:t xml:space="preserve">   </w:t>
      </w:r>
      <w:r>
        <w:rPr>
          <w:rFonts w:hint="eastAsia" w:ascii="宋体" w:hAnsi="宋体"/>
          <w:lang w:val="en-US" w:eastAsia="zh-CN"/>
        </w:rPr>
        <w:t>3</w:t>
      </w:r>
      <w:r>
        <w:rPr>
          <w:rFonts w:ascii="宋体" w:hAnsi="宋体"/>
        </w:rPr>
        <w:t xml:space="preserve"> </w:t>
      </w:r>
      <w:r>
        <w:rPr>
          <w:rFonts w:hint="eastAsia" w:ascii="宋体" w:hAnsi="宋体"/>
        </w:rPr>
        <w:t>月</w:t>
      </w:r>
      <w:r>
        <w:rPr>
          <w:rFonts w:ascii="宋体" w:hAnsi="宋体"/>
        </w:rPr>
        <w:t xml:space="preserve"> </w:t>
      </w:r>
      <w:r>
        <w:rPr>
          <w:rFonts w:hint="eastAsia" w:ascii="宋体" w:hAnsi="宋体"/>
          <w:lang w:val="en-US" w:eastAsia="zh-CN"/>
        </w:rPr>
        <w:t>31</w:t>
      </w:r>
      <w:r>
        <w:rPr>
          <w:rFonts w:ascii="宋体" w:hAnsi="宋体"/>
        </w:rPr>
        <w:t xml:space="preserve">   </w:t>
      </w:r>
      <w:r>
        <w:rPr>
          <w:rFonts w:hint="eastAsia" w:ascii="宋体" w:hAnsi="宋体"/>
        </w:rPr>
        <w:t>日</w:t>
      </w:r>
    </w:p>
    <w:p>
      <w:pPr>
        <w:spacing w:after="0" w:line="400" w:lineRule="exact"/>
        <w:ind w:firstLine="440" w:firstLineChars="200"/>
        <w:rPr>
          <w:rFonts w:hint="eastAsia"/>
        </w:rPr>
      </w:pPr>
      <w:r>
        <w:rPr>
          <w:rFonts w:hint="eastAsia"/>
        </w:rPr>
        <w:t>说明：</w:t>
      </w:r>
    </w:p>
    <w:p>
      <w:pPr>
        <w:spacing w:after="0" w:line="400" w:lineRule="exact"/>
        <w:ind w:firstLine="440" w:firstLineChars="200"/>
      </w:pPr>
      <w:r>
        <w:t>1.</w:t>
      </w:r>
      <w:r>
        <w:rPr>
          <w:rFonts w:hint="eastAsia"/>
          <w:lang w:val="en-US" w:eastAsia="zh-CN"/>
        </w:rPr>
        <w:t>属于</w:t>
      </w:r>
      <w:r>
        <w:rPr>
          <w:rFonts w:hint="eastAsia"/>
        </w:rPr>
        <w:t>场所桌椅门窗破损等简单零星维修的，由各相关部门、单位自行负责修缮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其他方面的</w:t>
      </w:r>
      <w:r>
        <w:rPr>
          <w:rFonts w:hint="eastAsia"/>
        </w:rPr>
        <w:t>安全隐患</w:t>
      </w:r>
      <w:r>
        <w:rPr>
          <w:rFonts w:hint="eastAsia"/>
          <w:lang w:val="en-US" w:eastAsia="zh-CN"/>
        </w:rPr>
        <w:t>的</w:t>
      </w:r>
      <w:r>
        <w:rPr>
          <w:rFonts w:hint="eastAsia"/>
        </w:rPr>
        <w:t>整改及报送</w:t>
      </w:r>
      <w:r>
        <w:rPr>
          <w:rFonts w:hint="eastAsia"/>
          <w:lang w:val="en-US" w:eastAsia="zh-CN"/>
        </w:rPr>
        <w:t>按通知中第六条第</w:t>
      </w:r>
      <w:r>
        <w:rPr>
          <w:rFonts w:hint="eastAsia"/>
        </w:rPr>
        <w:t>（一）</w:t>
      </w:r>
      <w:r>
        <w:rPr>
          <w:rFonts w:hint="eastAsia"/>
          <w:lang w:val="en-US" w:eastAsia="zh-CN"/>
        </w:rPr>
        <w:t>的规定，</w:t>
      </w:r>
      <w:r>
        <w:rPr>
          <w:rFonts w:hint="eastAsia"/>
        </w:rPr>
        <w:t>报</w:t>
      </w:r>
      <w:r>
        <w:rPr>
          <w:rFonts w:hint="eastAsia"/>
          <w:lang w:val="en-US" w:eastAsia="zh-CN"/>
        </w:rPr>
        <w:t>送</w:t>
      </w:r>
      <w:r>
        <w:rPr>
          <w:rFonts w:hint="eastAsia"/>
        </w:rPr>
        <w:t>相关职能部门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单位</w:t>
      </w:r>
      <w:r>
        <w:rPr>
          <w:rFonts w:hint="eastAsia"/>
        </w:rPr>
        <w:t>进行</w:t>
      </w:r>
      <w:r>
        <w:rPr>
          <w:rFonts w:hint="eastAsia"/>
          <w:lang w:val="en-US" w:eastAsia="zh-CN"/>
        </w:rPr>
        <w:t>处置</w:t>
      </w:r>
      <w:r>
        <w:rPr>
          <w:rFonts w:hint="eastAsia"/>
        </w:rPr>
        <w:t>。</w:t>
      </w:r>
    </w:p>
    <w:p>
      <w:pPr>
        <w:spacing w:after="0" w:line="400" w:lineRule="exact"/>
        <w:ind w:firstLine="440" w:firstLineChars="200"/>
      </w:pPr>
      <w:r>
        <w:t>2</w:t>
      </w:r>
      <w:r>
        <w:rPr>
          <w:rFonts w:hint="eastAsia"/>
        </w:rPr>
        <w:t>. 本部门、本单位根据所管所属范围的实际情况，在检查结果一栏存在问题的打“√”，不存在的打“×”，具体情况写在“问题描述”一栏中，写不完的另外附页描述，并在“是否上报”栏中填写“已整改”或“上报”。</w:t>
      </w:r>
    </w:p>
    <w:p>
      <w:pPr>
        <w:spacing w:after="0" w:line="400" w:lineRule="exact"/>
        <w:ind w:firstLine="440" w:firstLineChars="200"/>
      </w:pPr>
      <w:r>
        <w:t>3</w:t>
      </w:r>
      <w:r>
        <w:rPr>
          <w:rFonts w:hint="eastAsia"/>
        </w:rPr>
        <w:t>.</w:t>
      </w:r>
      <w:r>
        <w:t xml:space="preserve"> </w:t>
      </w:r>
      <w:r>
        <w:rPr>
          <w:rFonts w:hint="eastAsia"/>
        </w:rPr>
        <w:t>本表一式多份，由本部门（单位）主要负责人签字并盖章后，一份留存，另几份根据实际情况送到相应的牵头职能部门。</w:t>
      </w:r>
    </w:p>
    <w:p>
      <w:pPr>
        <w:spacing w:line="220" w:lineRule="atLeast"/>
        <w:ind w:firstLine="440" w:firstLineChars="200"/>
        <w:rPr>
          <w:rFonts w:ascii="宋体" w:hAnsi="宋体"/>
        </w:rPr>
      </w:pPr>
    </w:p>
    <w:sectPr>
      <w:footerReference r:id="rId5" w:type="default"/>
      <w:pgSz w:w="16838" w:h="11906" w:orient="landscape"/>
      <w:pgMar w:top="1800" w:right="1440" w:bottom="1800" w:left="1440" w:header="708" w:footer="708" w:gutter="0"/>
      <w:pgNumType w:fmt="numberInDash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31224047"/>
      <w:docPartObj>
        <w:docPartGallery w:val="autotext"/>
      </w:docPartObj>
    </w:sdtPr>
    <w:sdtContent>
      <w:p>
        <w:pPr>
          <w:pStyle w:val="6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-</w:t>
        </w:r>
        <w:r>
          <w:t xml:space="preserve"> 1 -</w:t>
        </w:r>
        <w:r>
          <w:fldChar w:fldCharType="end"/>
        </w:r>
      </w:p>
    </w:sdtContent>
  </w:sdt>
  <w:p>
    <w:pPr>
      <w:pStyle w:val="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VhM2RiM2IwYzMzNjUzZGE3ZjY4ZmRmOTMyZDlmNGQifQ=="/>
  </w:docVars>
  <w:rsids>
    <w:rsidRoot w:val="00D31D50"/>
    <w:rsid w:val="0000082A"/>
    <w:rsid w:val="00000AC9"/>
    <w:rsid w:val="00004FDF"/>
    <w:rsid w:val="0001184D"/>
    <w:rsid w:val="00020087"/>
    <w:rsid w:val="00020697"/>
    <w:rsid w:val="000374DC"/>
    <w:rsid w:val="00053780"/>
    <w:rsid w:val="00054622"/>
    <w:rsid w:val="000608DF"/>
    <w:rsid w:val="000B2E38"/>
    <w:rsid w:val="000C3C40"/>
    <w:rsid w:val="000C430E"/>
    <w:rsid w:val="000E0634"/>
    <w:rsid w:val="000F1163"/>
    <w:rsid w:val="00105A78"/>
    <w:rsid w:val="00121905"/>
    <w:rsid w:val="0013514F"/>
    <w:rsid w:val="00153285"/>
    <w:rsid w:val="00153F8C"/>
    <w:rsid w:val="00156349"/>
    <w:rsid w:val="00193C1D"/>
    <w:rsid w:val="001B16AE"/>
    <w:rsid w:val="001B4472"/>
    <w:rsid w:val="001B6CE1"/>
    <w:rsid w:val="001E447E"/>
    <w:rsid w:val="00204EE3"/>
    <w:rsid w:val="00220718"/>
    <w:rsid w:val="00271129"/>
    <w:rsid w:val="002779F3"/>
    <w:rsid w:val="00283C54"/>
    <w:rsid w:val="00287E25"/>
    <w:rsid w:val="002A2467"/>
    <w:rsid w:val="002A3998"/>
    <w:rsid w:val="002A4AA8"/>
    <w:rsid w:val="002A7DDB"/>
    <w:rsid w:val="002C468B"/>
    <w:rsid w:val="002D69F0"/>
    <w:rsid w:val="002E583B"/>
    <w:rsid w:val="00314519"/>
    <w:rsid w:val="00323B43"/>
    <w:rsid w:val="00330A56"/>
    <w:rsid w:val="003463BF"/>
    <w:rsid w:val="00351D6C"/>
    <w:rsid w:val="00356677"/>
    <w:rsid w:val="003617EB"/>
    <w:rsid w:val="00372952"/>
    <w:rsid w:val="003847AE"/>
    <w:rsid w:val="00384AC9"/>
    <w:rsid w:val="0039255B"/>
    <w:rsid w:val="003A24AB"/>
    <w:rsid w:val="003B3040"/>
    <w:rsid w:val="003D37D8"/>
    <w:rsid w:val="003E0354"/>
    <w:rsid w:val="003E5F71"/>
    <w:rsid w:val="003E68FE"/>
    <w:rsid w:val="004055B1"/>
    <w:rsid w:val="004079DE"/>
    <w:rsid w:val="00422295"/>
    <w:rsid w:val="00426133"/>
    <w:rsid w:val="0043180D"/>
    <w:rsid w:val="004358AB"/>
    <w:rsid w:val="00452B01"/>
    <w:rsid w:val="00466A00"/>
    <w:rsid w:val="00466CD5"/>
    <w:rsid w:val="004A0C2A"/>
    <w:rsid w:val="004A23CC"/>
    <w:rsid w:val="004B6377"/>
    <w:rsid w:val="004C1EA6"/>
    <w:rsid w:val="004F268D"/>
    <w:rsid w:val="00534AC0"/>
    <w:rsid w:val="00567B10"/>
    <w:rsid w:val="005A0321"/>
    <w:rsid w:val="005A6934"/>
    <w:rsid w:val="005B247A"/>
    <w:rsid w:val="005B3C35"/>
    <w:rsid w:val="005B4243"/>
    <w:rsid w:val="005B5361"/>
    <w:rsid w:val="005B6677"/>
    <w:rsid w:val="005C43F3"/>
    <w:rsid w:val="005E4635"/>
    <w:rsid w:val="005E4692"/>
    <w:rsid w:val="005F41F3"/>
    <w:rsid w:val="005F5A1D"/>
    <w:rsid w:val="005F5D88"/>
    <w:rsid w:val="005F7449"/>
    <w:rsid w:val="00605526"/>
    <w:rsid w:val="00662416"/>
    <w:rsid w:val="0066338B"/>
    <w:rsid w:val="00684AF4"/>
    <w:rsid w:val="00685BED"/>
    <w:rsid w:val="006B74D9"/>
    <w:rsid w:val="006C1D87"/>
    <w:rsid w:val="006C7375"/>
    <w:rsid w:val="006F1713"/>
    <w:rsid w:val="00704E33"/>
    <w:rsid w:val="00717765"/>
    <w:rsid w:val="00724275"/>
    <w:rsid w:val="00724937"/>
    <w:rsid w:val="00732675"/>
    <w:rsid w:val="00732A89"/>
    <w:rsid w:val="007465F9"/>
    <w:rsid w:val="00754879"/>
    <w:rsid w:val="007829EA"/>
    <w:rsid w:val="007A7F42"/>
    <w:rsid w:val="007B5E31"/>
    <w:rsid w:val="007B6152"/>
    <w:rsid w:val="007D2D6A"/>
    <w:rsid w:val="007D7980"/>
    <w:rsid w:val="007E39D6"/>
    <w:rsid w:val="007F3D6C"/>
    <w:rsid w:val="00843633"/>
    <w:rsid w:val="00862AA9"/>
    <w:rsid w:val="00864CDC"/>
    <w:rsid w:val="00867772"/>
    <w:rsid w:val="00877B63"/>
    <w:rsid w:val="00887541"/>
    <w:rsid w:val="00897636"/>
    <w:rsid w:val="008A1361"/>
    <w:rsid w:val="008B0FDE"/>
    <w:rsid w:val="008B7726"/>
    <w:rsid w:val="008B7D61"/>
    <w:rsid w:val="008C32FD"/>
    <w:rsid w:val="008E0DA1"/>
    <w:rsid w:val="008F76BE"/>
    <w:rsid w:val="009023FC"/>
    <w:rsid w:val="00920461"/>
    <w:rsid w:val="00921011"/>
    <w:rsid w:val="00921D0E"/>
    <w:rsid w:val="00926FC6"/>
    <w:rsid w:val="0094640E"/>
    <w:rsid w:val="00950C72"/>
    <w:rsid w:val="00987994"/>
    <w:rsid w:val="00997760"/>
    <w:rsid w:val="009A0047"/>
    <w:rsid w:val="009A523B"/>
    <w:rsid w:val="009E245A"/>
    <w:rsid w:val="009F006F"/>
    <w:rsid w:val="00A25540"/>
    <w:rsid w:val="00A54AA0"/>
    <w:rsid w:val="00A63265"/>
    <w:rsid w:val="00A84C14"/>
    <w:rsid w:val="00A859F7"/>
    <w:rsid w:val="00A95C9E"/>
    <w:rsid w:val="00A95F13"/>
    <w:rsid w:val="00A97848"/>
    <w:rsid w:val="00AA4DFF"/>
    <w:rsid w:val="00AA6A89"/>
    <w:rsid w:val="00AB13E8"/>
    <w:rsid w:val="00AB77BD"/>
    <w:rsid w:val="00AC0452"/>
    <w:rsid w:val="00AD2159"/>
    <w:rsid w:val="00AD6271"/>
    <w:rsid w:val="00AE2646"/>
    <w:rsid w:val="00AE50C9"/>
    <w:rsid w:val="00AE570E"/>
    <w:rsid w:val="00AF5AD7"/>
    <w:rsid w:val="00B055E2"/>
    <w:rsid w:val="00B11774"/>
    <w:rsid w:val="00B13E8C"/>
    <w:rsid w:val="00B20DF2"/>
    <w:rsid w:val="00B237B5"/>
    <w:rsid w:val="00B42038"/>
    <w:rsid w:val="00B47F67"/>
    <w:rsid w:val="00B52362"/>
    <w:rsid w:val="00B5646E"/>
    <w:rsid w:val="00B5782F"/>
    <w:rsid w:val="00B66589"/>
    <w:rsid w:val="00B80D1E"/>
    <w:rsid w:val="00B831C6"/>
    <w:rsid w:val="00B95894"/>
    <w:rsid w:val="00BA7FF6"/>
    <w:rsid w:val="00BB518B"/>
    <w:rsid w:val="00BC08C4"/>
    <w:rsid w:val="00BD0476"/>
    <w:rsid w:val="00BE7BB4"/>
    <w:rsid w:val="00BF7DA7"/>
    <w:rsid w:val="00C018C8"/>
    <w:rsid w:val="00C040D4"/>
    <w:rsid w:val="00C9254B"/>
    <w:rsid w:val="00CA4BC0"/>
    <w:rsid w:val="00CA7B98"/>
    <w:rsid w:val="00CD0A20"/>
    <w:rsid w:val="00CD22DD"/>
    <w:rsid w:val="00CD3A0C"/>
    <w:rsid w:val="00CE7B42"/>
    <w:rsid w:val="00CE7D59"/>
    <w:rsid w:val="00CF380B"/>
    <w:rsid w:val="00CF7938"/>
    <w:rsid w:val="00D0767D"/>
    <w:rsid w:val="00D07BF6"/>
    <w:rsid w:val="00D24568"/>
    <w:rsid w:val="00D31D50"/>
    <w:rsid w:val="00D35DE0"/>
    <w:rsid w:val="00D55AE6"/>
    <w:rsid w:val="00D95457"/>
    <w:rsid w:val="00DA2704"/>
    <w:rsid w:val="00DB19DF"/>
    <w:rsid w:val="00DC424F"/>
    <w:rsid w:val="00DC4589"/>
    <w:rsid w:val="00DF15E4"/>
    <w:rsid w:val="00E20018"/>
    <w:rsid w:val="00E24009"/>
    <w:rsid w:val="00E26EE7"/>
    <w:rsid w:val="00E309D9"/>
    <w:rsid w:val="00E533B1"/>
    <w:rsid w:val="00E55FA5"/>
    <w:rsid w:val="00E6538C"/>
    <w:rsid w:val="00E91E4A"/>
    <w:rsid w:val="00E96E7F"/>
    <w:rsid w:val="00EB1C74"/>
    <w:rsid w:val="00EC0EBD"/>
    <w:rsid w:val="00ED677B"/>
    <w:rsid w:val="00EE5FA7"/>
    <w:rsid w:val="00F27AE8"/>
    <w:rsid w:val="00F462FA"/>
    <w:rsid w:val="00F463AF"/>
    <w:rsid w:val="00F53130"/>
    <w:rsid w:val="00F61C33"/>
    <w:rsid w:val="00F6326F"/>
    <w:rsid w:val="00F64F64"/>
    <w:rsid w:val="00F70152"/>
    <w:rsid w:val="00F72FE5"/>
    <w:rsid w:val="00F74727"/>
    <w:rsid w:val="00FA54AE"/>
    <w:rsid w:val="00FB633A"/>
    <w:rsid w:val="00FC4F03"/>
    <w:rsid w:val="00FD13B1"/>
    <w:rsid w:val="00FF0C9D"/>
    <w:rsid w:val="00FF5698"/>
    <w:rsid w:val="00FF6BBA"/>
    <w:rsid w:val="02337D11"/>
    <w:rsid w:val="02D60FB4"/>
    <w:rsid w:val="058D2695"/>
    <w:rsid w:val="06540256"/>
    <w:rsid w:val="0A803B0B"/>
    <w:rsid w:val="0AD52DED"/>
    <w:rsid w:val="0B7E6F1A"/>
    <w:rsid w:val="0BB579E9"/>
    <w:rsid w:val="0C3B7EEE"/>
    <w:rsid w:val="0E3A3D63"/>
    <w:rsid w:val="0F3A0931"/>
    <w:rsid w:val="0F44355D"/>
    <w:rsid w:val="0F9242C9"/>
    <w:rsid w:val="0FA638D0"/>
    <w:rsid w:val="10944070"/>
    <w:rsid w:val="12B502CE"/>
    <w:rsid w:val="143C2A55"/>
    <w:rsid w:val="168B3820"/>
    <w:rsid w:val="16D276A1"/>
    <w:rsid w:val="17B60D70"/>
    <w:rsid w:val="17FF4DE1"/>
    <w:rsid w:val="194B54E8"/>
    <w:rsid w:val="1C7B4336"/>
    <w:rsid w:val="1CE4012E"/>
    <w:rsid w:val="200A3A07"/>
    <w:rsid w:val="20D61B3B"/>
    <w:rsid w:val="20DC314F"/>
    <w:rsid w:val="212154AC"/>
    <w:rsid w:val="21D93411"/>
    <w:rsid w:val="237557B1"/>
    <w:rsid w:val="24127D1D"/>
    <w:rsid w:val="26EE0DB8"/>
    <w:rsid w:val="27F06AC5"/>
    <w:rsid w:val="28FB2A87"/>
    <w:rsid w:val="297B7724"/>
    <w:rsid w:val="29DD5428"/>
    <w:rsid w:val="2B513870"/>
    <w:rsid w:val="2D5E35E4"/>
    <w:rsid w:val="2E293BF2"/>
    <w:rsid w:val="2EE8585B"/>
    <w:rsid w:val="2FB15C4D"/>
    <w:rsid w:val="30D36097"/>
    <w:rsid w:val="318C4BC4"/>
    <w:rsid w:val="31D65E3F"/>
    <w:rsid w:val="34E97C37"/>
    <w:rsid w:val="354632DC"/>
    <w:rsid w:val="35D94150"/>
    <w:rsid w:val="378E0F6A"/>
    <w:rsid w:val="38A10A8B"/>
    <w:rsid w:val="391D732A"/>
    <w:rsid w:val="3CC64D02"/>
    <w:rsid w:val="3D611E98"/>
    <w:rsid w:val="3DBE3CBE"/>
    <w:rsid w:val="3F1955BD"/>
    <w:rsid w:val="3F43088C"/>
    <w:rsid w:val="3FBA0B4E"/>
    <w:rsid w:val="42BE0955"/>
    <w:rsid w:val="43364990"/>
    <w:rsid w:val="443609BF"/>
    <w:rsid w:val="446B5B00"/>
    <w:rsid w:val="457C68A6"/>
    <w:rsid w:val="457D4C8F"/>
    <w:rsid w:val="45D93CF8"/>
    <w:rsid w:val="46D71FE6"/>
    <w:rsid w:val="474D77F3"/>
    <w:rsid w:val="48626132"/>
    <w:rsid w:val="48BD16AF"/>
    <w:rsid w:val="49F7299F"/>
    <w:rsid w:val="4B4614E8"/>
    <w:rsid w:val="4CD95CA4"/>
    <w:rsid w:val="4E7D41AC"/>
    <w:rsid w:val="4EE07EA5"/>
    <w:rsid w:val="4F8F04B7"/>
    <w:rsid w:val="4FA669F9"/>
    <w:rsid w:val="4FD23C92"/>
    <w:rsid w:val="50A3118B"/>
    <w:rsid w:val="50BE5FC4"/>
    <w:rsid w:val="52520EF6"/>
    <w:rsid w:val="56876E58"/>
    <w:rsid w:val="582F21E1"/>
    <w:rsid w:val="5AE925CD"/>
    <w:rsid w:val="5B89300D"/>
    <w:rsid w:val="5B922527"/>
    <w:rsid w:val="5C6914DA"/>
    <w:rsid w:val="5D1D4073"/>
    <w:rsid w:val="5D380EAD"/>
    <w:rsid w:val="5E316028"/>
    <w:rsid w:val="5E950998"/>
    <w:rsid w:val="5F0C0462"/>
    <w:rsid w:val="5F3833E6"/>
    <w:rsid w:val="60002D6C"/>
    <w:rsid w:val="607E52DF"/>
    <w:rsid w:val="61BD3266"/>
    <w:rsid w:val="656A1E1F"/>
    <w:rsid w:val="661C73DE"/>
    <w:rsid w:val="6B3453A9"/>
    <w:rsid w:val="6E4C47B8"/>
    <w:rsid w:val="6EEA46FD"/>
    <w:rsid w:val="719852BE"/>
    <w:rsid w:val="71AE5C77"/>
    <w:rsid w:val="727A2772"/>
    <w:rsid w:val="74B84955"/>
    <w:rsid w:val="756D3991"/>
    <w:rsid w:val="76206C56"/>
    <w:rsid w:val="773109EF"/>
    <w:rsid w:val="790F6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/>
    </w:pPr>
    <w:rPr>
      <w:rFonts w:ascii="Calibri" w:hAnsi="Calibri" w:eastAsia="宋体" w:cs="Times New Roman"/>
    </w:rPr>
  </w:style>
  <w:style w:type="paragraph" w:styleId="3">
    <w:name w:val="Body Text Indent"/>
    <w:basedOn w:val="1"/>
    <w:next w:val="4"/>
    <w:qFormat/>
    <w:uiPriority w:val="0"/>
    <w:pPr>
      <w:ind w:firstLine="640" w:firstLineChars="200"/>
    </w:pPr>
    <w:rPr>
      <w:snapToGrid w:val="0"/>
      <w:kern w:val="0"/>
      <w:szCs w:val="24"/>
    </w:rPr>
  </w:style>
  <w:style w:type="paragraph" w:styleId="4">
    <w:name w:val="Normal Indent"/>
    <w:basedOn w:val="1"/>
    <w:next w:val="3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4"/>
    </w:rPr>
  </w:style>
  <w:style w:type="paragraph" w:styleId="5">
    <w:name w:val="Balloon Text"/>
    <w:basedOn w:val="1"/>
    <w:link w:val="14"/>
    <w:semiHidden/>
    <w:unhideWhenUsed/>
    <w:qFormat/>
    <w:uiPriority w:val="99"/>
    <w:pPr>
      <w:spacing w:after="0"/>
    </w:pPr>
    <w:rPr>
      <w:sz w:val="18"/>
      <w:szCs w:val="18"/>
    </w:rPr>
  </w:style>
  <w:style w:type="paragraph" w:styleId="6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7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9">
    <w:name w:val="Table Grid"/>
    <w:basedOn w:val="8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页眉 字符"/>
    <w:basedOn w:val="10"/>
    <w:link w:val="7"/>
    <w:qFormat/>
    <w:uiPriority w:val="99"/>
    <w:rPr>
      <w:rFonts w:ascii="Tahoma" w:hAnsi="Tahoma"/>
      <w:sz w:val="18"/>
      <w:szCs w:val="18"/>
    </w:rPr>
  </w:style>
  <w:style w:type="character" w:customStyle="1" w:styleId="13">
    <w:name w:val="页脚 字符"/>
    <w:basedOn w:val="10"/>
    <w:link w:val="6"/>
    <w:qFormat/>
    <w:uiPriority w:val="99"/>
    <w:rPr>
      <w:rFonts w:ascii="Tahoma" w:hAnsi="Tahoma"/>
      <w:sz w:val="18"/>
      <w:szCs w:val="18"/>
    </w:rPr>
  </w:style>
  <w:style w:type="character" w:customStyle="1" w:styleId="14">
    <w:name w:val="批注框文本 字符"/>
    <w:basedOn w:val="10"/>
    <w:link w:val="5"/>
    <w:semiHidden/>
    <w:qFormat/>
    <w:uiPriority w:val="99"/>
    <w:rPr>
      <w:rFonts w:ascii="Tahoma" w:hAnsi="Tahoma"/>
      <w:sz w:val="18"/>
      <w:szCs w:val="18"/>
    </w:rPr>
  </w:style>
  <w:style w:type="character" w:styleId="15">
    <w:name w:val="Placeholder Text"/>
    <w:basedOn w:val="10"/>
    <w:semiHidden/>
    <w:qFormat/>
    <w:uiPriority w:val="99"/>
    <w:rPr>
      <w:color w:val="808080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未处理的提及1"/>
    <w:basedOn w:val="10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2571</Words>
  <Characters>2631</Characters>
  <Lines>24</Lines>
  <Paragraphs>6</Paragraphs>
  <TotalTime>1</TotalTime>
  <ScaleCrop>false</ScaleCrop>
  <LinksUpToDate>false</LinksUpToDate>
  <CharactersWithSpaces>3263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2022-03-30T07:11:00Z</dcterms:created>
  <dc:creator>Administrator</dc:creator>
  <cp:lastModifiedBy>离别钩</cp:lastModifiedBy>
  <cp:lastPrinted>2021-02-24T04:18:00Z</cp:lastPrinted>
  <dcterms:modified xsi:type="dcterms:W3CDTF">2022-06-15T03:16:48Z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E6F3DB10913C4472AA4711FA78F4C002</vt:lpwstr>
  </property>
</Properties>
</file>